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Program IV – Údržba a provoz sportovních zařízení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Obsahové zaměření: </w:t>
      </w:r>
      <w:r>
        <w:rPr>
          <w:rFonts w:ascii="TimesNewRomanPSMT" w:hAnsi="TimesNewRomanPSMT" w:cs="TimesNewRomanPSMT"/>
          <w:sz w:val="24"/>
          <w:szCs w:val="24"/>
        </w:rPr>
        <w:t>je jednoznačně orientováno na podporu údržby a provozu sportovních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zařízení.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Podpora udržování a provozování sportovních zařízení ve vlastnictví, výpůjčce nebo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dlouhodobém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nájmu (mezi státním subjektem nebo sportovním spolkem). Sportovním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zařízením se rozumí objekt, pozemek, vodní plocha, budova nebo jejich soubor sloužící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výhradně nebo převážně pro provozování sportu.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Podpora udržování technických prostředků, strojů a zařízení sloužících ke sportovní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činnosti ve vlastnictví, nebo dlouhodobém nájmu.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Podpora udržování a provozování sportovních zařízení sloužících přípravě reprezentantů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sportovních talentů ve vlastnictví, výpůjčce, dle zvláštních právních předpisů nebo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dlouhodobém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nájmu.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Specifické vymezení: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Podpora je neinvestičního charakteru. Z tohoto důvodu nelze zaměňovat za investiční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projekt, který má vazbu na zhodnocování hodnoty majetku.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Žadatelem je: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spolek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 celostátní působností,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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účelové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vymezení: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požadavky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konečných příjemců - vlastníků a dlouhodobých nájemců (min. 10 let)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sportovních zařízení s jednooborovou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víceoborovou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TJ/SK pouze prostřednictvím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spolku s celostátní působností,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-BoldMT" w:cs="SymbolMT" w:hint="eastAsia"/>
          <w:sz w:val="24"/>
          <w:szCs w:val="24"/>
        </w:rPr>
        <w:t></w:t>
      </w:r>
      <w:r>
        <w:rPr>
          <w:rFonts w:ascii="SymbolMT" w:eastAsia="SymbolMT" w:hAnsi="TimesNewRomanPS-BoldMT" w:cs="Symbol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žádosti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spolku s celostátní působností ve vlastnictví ústředí jsou součástí celkového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požadavku spolku, který bude zapracován do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celkovém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seznamu – viz tabulka.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Každý žadatel dotace musí podat žádost, dle stanovených podmínek s přehledem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konečných příjemců v elektronické podobě, viz tabulka k žádosti. Upozornění: žádosti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základní dokumenty konečných příjemců zůstávají u žadatele – příjemce státní dotace.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Smlouva o dlouhodobém nájmu nesmí být uzavřena s podnikatelským, obchodním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subjektem, či fyzickou osobou.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Upozornění pro žadatele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Požadavek se předkládá pouze do výše 60 % celkové hodnoty majetku sportovního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zařízení v tis. Kč.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Dotace se poskytují max.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do výše 70 % rozpočtových nákladů projektu se spoluúčastí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min. ve výši 30 %.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Vyplnit údaj hodnoty majetku z účetní dokumentace v tis.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Kč, nikoliv odhad.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Žadatel zodpovídá za údaje konečných příjemců o vlastnictví, výpůjčce, dlouhodobém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nájmu, dokladu o výpisu, list vlastníka, souhlas vlastníka u dlouhodobého nájmu,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bezdlužnosti a bez zástavního práva, včetně údaje o členské základně a vybraných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příspěvcích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 konečných příjemců: u mládeže min. výše 100 Kč/os/rok a u dospělých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min. výše 500 Kč/os/rok.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Koneční příjemci TJ/SK nemohou podávat žádost samostatně, ani duplicitně.</w:t>
      </w:r>
      <w:proofErr w:type="gramEnd"/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Sportovní zařízení, která jsou využívána pro činnost VSC MŠMT (pro sportovní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reprezentaci ČR) budou řešena individuálně na základě doporučení VSC MŠMT.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Wingdings-Regular" w:eastAsia="Wingdings-Regular" w:hAnsi="TimesNewRomanPS-BoldMT" w:cs="Wingdings-Regular" w:hint="eastAsia"/>
          <w:sz w:val="24"/>
          <w:szCs w:val="24"/>
        </w:rPr>
        <w:t></w:t>
      </w:r>
      <w:r>
        <w:rPr>
          <w:rFonts w:ascii="Wingdings-Regular" w:eastAsia="Wingdings-Regular" w:hAnsi="TimesNewRomanPS-BoldMT" w:cs="Wingdings-Regular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Státní podporu lze poskytnout pouze akceptovaným konečným příjemcům, které</w:t>
      </w:r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schválilo MŠMT. Seznam akceptovaných příjemců je přiložen k Rozhodnutí.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Za</w:t>
      </w:r>
      <w:proofErr w:type="gramEnd"/>
    </w:p>
    <w:p w:rsidR="00E404BB" w:rsidRDefault="00E404BB" w:rsidP="00E404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přerozdělení finančních prostředků uvedeným příjemcům zodpovídá žadatel.</w:t>
      </w:r>
    </w:p>
    <w:sectPr w:rsidR="00E404BB" w:rsidSect="0054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404BB"/>
    <w:rsid w:val="00543BE4"/>
    <w:rsid w:val="005A2FDF"/>
    <w:rsid w:val="00E4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lastModifiedBy>Siemens</cp:lastModifiedBy>
  <cp:revision>1</cp:revision>
  <dcterms:created xsi:type="dcterms:W3CDTF">2015-10-04T14:02:00Z</dcterms:created>
  <dcterms:modified xsi:type="dcterms:W3CDTF">2015-10-04T14:02:00Z</dcterms:modified>
</cp:coreProperties>
</file>